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Жизненный цикл и техническая поддержка</w:t>
      </w:r>
    </w:p>
    <w:p>
      <w:r>
        <w:t>Публичная документация программного обеспечения</w:t>
      </w:r>
    </w:p>
    <w:p>
      <w:r>
        <w:t>Программное обеспечение: «Агрегатор новостей», версия 1.0</w:t>
      </w:r>
    </w:p>
    <w:p>
      <w:r>
        <w:t>Правообладатель: ООО «ТЕХ СОЛЮШЕН»</w:t>
      </w:r>
    </w:p>
    <w:p>
      <w:r>
        <w:t>ИНН 7707445409 • ОГРН 1207700425569</w:t>
      </w:r>
    </w:p>
    <w:p>
      <w:r>
        <w:t>Редакция от 29 сентября 2026 г.</w:t>
      </w:r>
    </w:p>
    <w:p>
      <w:pPr>
        <w:pStyle w:val="Heading1"/>
      </w:pPr>
      <w:r>
        <w:t>1. Общие сведения</w:t>
      </w:r>
    </w:p>
    <w:p>
      <w:r>
        <w:t>Настоящий документ описывает процессы, обеспечивающие поддержание жизненного цикла программного обеспечения «Агрегатор новостей», версия 1.0: сопровождение, устранение неисправностей, совершенствование программы и порядок обращения в техническую поддержку. Правообладатель и разработчик — ООО «ТЕХ СОЛЮШЕН».</w:t>
      </w:r>
    </w:p>
    <w:p>
      <w:pPr>
        <w:pStyle w:val="Heading1"/>
      </w:pPr>
      <w:r>
        <w:t>2. Жизненный цикл</w:t>
      </w:r>
    </w:p>
    <w:p>
      <w:r>
        <w:t>Программа поддерживается и развивается правообладателем. Развитие ведётся на основе обращений пользователей и планов правообладателя. Обновления устанавливаются правообладателем на серверах эксплуатации без участия пользователя.</w:t>
      </w:r>
    </w:p>
    <w:p>
      <w:pPr>
        <w:pStyle w:val="Heading1"/>
      </w:pPr>
      <w:r>
        <w:t>3. Устранение неисправностей</w:t>
      </w:r>
    </w:p>
    <w:p>
      <w:r>
        <w:t>Пользователь сообщает о неисправности по контактам, указанным в разделе 6. Правообладатель регистрирует обращение, воспроизводит проблему, устраняет её и сообщает пользователю результат.</w:t>
      </w:r>
    </w:p>
    <w:p>
      <w:r>
        <w:t>Ошибки устраняются в приоритетном порядке в кратчайшие сроки. Фиксированные сроки реакции и устранения (соглашение об уровне сервиса, SLA) могут быть установлены договором.</w:t>
      </w:r>
    </w:p>
    <w:p>
      <w:pPr>
        <w:pStyle w:val="Heading1"/>
      </w:pPr>
      <w:r>
        <w:t>4. Совершенствование</w:t>
      </w:r>
    </w:p>
    <w:p>
      <w:r>
        <w:t>Правообладатель выпускает обновления программы с исправлениями и новыми функциями. Предложения пользователей по развитию принимаются по контактам, указанным в разделе 6.</w:t>
      </w:r>
    </w:p>
    <w:p>
      <w:pPr>
        <w:pStyle w:val="Heading1"/>
      </w:pPr>
      <w:r>
        <w:t>5. Хранение исходного кода</w:t>
      </w:r>
    </w:p>
    <w:p>
      <w:r>
        <w:t>Исходный код, объектный код и средства сборки программы хранятся на серверах правообладателя на территории Российской Федерации.</w:t>
      </w:r>
    </w:p>
    <w:p>
      <w:pPr>
        <w:pStyle w:val="Heading1"/>
      </w:pPr>
      <w:r>
        <w:t>6. Контакты технической поддержки</w:t>
      </w:r>
    </w:p>
    <w:p>
      <w:pPr>
        <w:pStyle w:val="ListBullet"/>
      </w:pPr>
      <w:r>
        <w:t>Электронная почта: sales@techsolution.ru</w:t>
      </w:r>
    </w:p>
    <w:p>
      <w:pPr>
        <w:pStyle w:val="ListBullet"/>
      </w:pPr>
      <w:r>
        <w:t>Телефон: +7 (499) 455-18-69</w:t>
      </w:r>
    </w:p>
    <w:p>
      <w:pPr>
        <w:pStyle w:val="ListBullet"/>
      </w:pPr>
      <w:r>
        <w:t>Время работы: по будням с 10:00 до 19:00 (время московское)</w:t>
      </w:r>
    </w:p>
    <w:p>
      <w:pPr>
        <w:pStyle w:val="ListBullet"/>
      </w:pPr>
      <w:r>
        <w:t>Адрес: г. Москва, 1-й Волконский пер., д. 15, стр.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